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Times New Roman" w:hAnsi="宋体" w:eastAsia="宋体"/>
          <w:sz w:val="32"/>
        </w:rPr>
      </w:pPr>
      <w:r>
        <w:rPr>
          <w:rFonts w:hint="eastAsia" w:ascii="方正小标宋_GBK" w:eastAsia="方正小标宋_GBK"/>
          <w:sz w:val="32"/>
        </w:rPr>
        <w:t>人员经费预算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923"/>
        <w:gridCol w:w="920"/>
        <w:gridCol w:w="4615"/>
        <w:gridCol w:w="1327"/>
        <w:gridCol w:w="1324"/>
        <w:gridCol w:w="1324"/>
        <w:gridCol w:w="1324"/>
        <w:gridCol w:w="13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7494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360211河北水利电力学院</w:t>
            </w:r>
          </w:p>
        </w:tc>
        <w:tc>
          <w:tcPr>
            <w:tcW w:w="6620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tblHeader/>
          <w:jc w:val="center"/>
        </w:trPr>
        <w:tc>
          <w:tcPr>
            <w:tcW w:w="103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功能分类科目编码</w:t>
            </w:r>
          </w:p>
        </w:tc>
        <w:tc>
          <w:tcPr>
            <w:tcW w:w="92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部门经济分类编码</w:t>
            </w:r>
          </w:p>
        </w:tc>
        <w:tc>
          <w:tcPr>
            <w:tcW w:w="920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政府经济分类编码</w:t>
            </w:r>
          </w:p>
        </w:tc>
        <w:tc>
          <w:tcPr>
            <w:tcW w:w="461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预算支出项目</w:t>
            </w:r>
          </w:p>
        </w:tc>
        <w:tc>
          <w:tcPr>
            <w:tcW w:w="662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资</w:t>
            </w:r>
            <w:r>
              <w:rPr>
                <w:rFonts w:ascii="方正书宋_GBK" w:eastAsia="方正书宋_GBK"/>
                <w:b/>
              </w:rPr>
              <w:t xml:space="preserve"> 金 来 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tblHeader/>
          <w:jc w:val="center"/>
        </w:trPr>
        <w:tc>
          <w:tcPr>
            <w:tcW w:w="1036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1"/>
            </w:pPr>
          </w:p>
        </w:tc>
        <w:tc>
          <w:tcPr>
            <w:tcW w:w="923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1"/>
            </w:pPr>
          </w:p>
        </w:tc>
        <w:tc>
          <w:tcPr>
            <w:tcW w:w="920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1"/>
            </w:pPr>
          </w:p>
        </w:tc>
        <w:tc>
          <w:tcPr>
            <w:tcW w:w="4615" w:type="dxa"/>
            <w:vMerge w:val="continue"/>
            <w:noWrap w:val="0"/>
            <w:vAlign w:val="center"/>
          </w:tcPr>
          <w:p>
            <w:pPr>
              <w:spacing w:line="300" w:lineRule="exact"/>
              <w:jc w:val="left"/>
              <w:outlineLvl w:val="1"/>
            </w:pP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合</w:t>
            </w:r>
            <w:r>
              <w:rPr>
                <w:rFonts w:ascii="方正书宋_GBK" w:eastAsia="方正书宋_GBK"/>
                <w:b/>
              </w:rPr>
              <w:t xml:space="preserve">  计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一般公共</w:t>
            </w:r>
            <w:r>
              <w:rPr>
                <w:rFonts w:ascii="方正书宋_GBK" w:eastAsia="方正书宋_GBK"/>
                <w:b/>
              </w:rPr>
              <w:t xml:space="preserve">  预算拨款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基金预算</w:t>
            </w:r>
            <w:r>
              <w:rPr>
                <w:rFonts w:ascii="方正书宋_GBK" w:eastAsia="方正书宋_GBK"/>
                <w:b/>
              </w:rPr>
              <w:t xml:space="preserve">  拨款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财政专户</w:t>
            </w:r>
            <w:r>
              <w:rPr>
                <w:rFonts w:ascii="方正书宋_GBK" w:eastAsia="方正书宋_GBK"/>
                <w:b/>
              </w:rPr>
              <w:t xml:space="preserve">  核拨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其他来源</w:t>
            </w:r>
            <w:r>
              <w:rPr>
                <w:rFonts w:ascii="方正书宋_GBK" w:eastAsia="方正书宋_GBK"/>
                <w:b/>
              </w:rPr>
              <w:t xml:space="preserve">  收入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合计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12798.61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10576.09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2222.52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一、工资福利支出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11599.95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9681.13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1918.82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1、基本工资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1331.54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1331.54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2、津贴补贴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440.34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331.31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109.03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1）地区附加津贴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2）艰苦边远地区津贴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3）（特殊）岗位津贴（补贴）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 xml:space="preserve">    1）国家出台与实际天数无关的岗位津贴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 xml:space="preserve">    2）国家出台按实际天数发放的岗位津贴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4）规范津贴补贴后仍继续保留的补贴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5）在职人员住宅取暖补贴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325.34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216.31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109.03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6）在职人员物业服务补贴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7）在职人员购房补贴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8）上述项目之外的津贴补贴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3、奖金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4、绩效工资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3782.90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3551.90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231.00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30107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1）基础绩效工资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1192.38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1192.38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30107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2）奖励绩效工资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2590.52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2359.52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231.00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30107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3）应纳入绩效工资的津贴补贴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5、社会保障缴费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3753.34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3753.34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30108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1）基本养老保险费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1740.00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1740.00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2）职业年金缴费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680.04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680.04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30110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3）基本医疗保险费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481.00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481.00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4）公务员医疗补助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5）事业单位补充医疗保险费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636.00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636.00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6）大病医疗保险费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5.30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5.30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7）事业单位失业保险费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8）工伤保险费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9）其他社保缴费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6、住房公积金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828.00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84.64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743.36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30114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7、医疗费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30106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8、伙食补助费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9、其他工资福利支出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1433.83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598.40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835.43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30199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1）长期聘用人员和长期临时工工资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516.13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516.13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30199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2）长期聘用人员和长期临时工社保缴费和住房公积金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319.30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319.30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30199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3）病假两个月以上职工的工资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30199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50501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4）其他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598.40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598.40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二、对个人和家庭的补助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1198.66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894.96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303.70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1、离休费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41.07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41.07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1）离休金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1.71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1.71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2）离休人员补贴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26.40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26.40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3）离休人员特殊补贴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9.60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9.60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4）离休人员住宅取暖补贴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5）离休人员物业服务补贴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0.96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0.96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6）离休人员购房补贴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7）社保开支离休人员单位负担按月发放费用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30301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8）社保开支离休人员单位负担按年发放费用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2、退休费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292.00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292.00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1）退休金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2）退休人员补贴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3）退休人员特殊补贴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4）退休人员住宅取暖补贴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147.00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147.00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5）退休人员物业服务补贴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6）退休人员购房补贴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7）社保开支退休人员单位负担按月发放费用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30302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8）社保开支退休人员单位负担按年发放费用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3、退职（役）费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0.85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0.85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1）退职生活费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2）退职人员补贴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3）退职人员特殊补贴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4）退职人员住宅取暖补贴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0.40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5）退职人员物业服务补贴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0.25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0.25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6）退职人员购房补贴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7）社保开支退职人员单位负担按月发放费用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30303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50905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8）社保开支退职人员单位负担按年发放费用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0.20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0.20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30304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4、抚恤金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30305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5、生活补助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23.76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23.76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30308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50902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6、助学金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303.70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303.70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7、奖励金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1）独生子女父母奖励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30309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50901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（</w:t>
            </w:r>
            <w:r>
              <w:rPr>
                <w:rFonts w:ascii="方正书宋_GBK" w:eastAsia="方正书宋_GBK"/>
              </w:rPr>
              <w:t>2）其他奖励金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1.00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1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2050205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30399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50999</w:t>
            </w:r>
          </w:p>
        </w:tc>
        <w:tc>
          <w:tcPr>
            <w:tcW w:w="4615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ascii="方正书宋_GBK" w:eastAsia="方正书宋_GBK"/>
              </w:rPr>
              <w:t>8、其他对个人和家庭的补助支出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431.28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431.28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  <w:tc>
          <w:tcPr>
            <w:tcW w:w="1321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</w:tbl>
    <w:p>
      <w:pPr>
        <w:spacing w:line="300" w:lineRule="exact"/>
        <w:jc w:val="left"/>
        <w:outlineLvl w:val="1"/>
        <w:sectPr>
          <w:pgSz w:w="16839" w:h="11907" w:orient="landscape"/>
          <w:pgMar w:top="1361" w:right="1020" w:bottom="1361" w:left="1020" w:header="851" w:footer="992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76688"/>
    <w:rsid w:val="02A7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nhideWhenUsed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2020-02-10T08:43:00Z</dcterms:created>
  <dc:creator>水</dc:creator>
  <cp:lastModifiedBy>水</cp:lastModifiedBy>
  <dcterms:modified xsi:type="dcterms:W3CDTF">2020-02-10T08:43:25Z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